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F" w:rsidRPr="00694595" w:rsidRDefault="007B1D9F" w:rsidP="00694595">
      <w:pPr>
        <w:pStyle w:val="Nagwek1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B1D9F">
        <w:rPr>
          <w:rFonts w:ascii="Times New Roman" w:hAnsi="Times New Roman" w:cs="Times New Roman"/>
          <w:sz w:val="24"/>
        </w:rPr>
        <w:t>Cel procedury</w:t>
      </w:r>
    </w:p>
    <w:p w:rsidR="00694595" w:rsidRDefault="00694595" w:rsidP="0069459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D9F" w:rsidRPr="007B1D9F">
        <w:rPr>
          <w:rFonts w:ascii="Times New Roman" w:hAnsi="Times New Roman" w:cs="Times New Roman"/>
          <w:sz w:val="24"/>
          <w:szCs w:val="24"/>
        </w:rPr>
        <w:t>Celem procedury jest realizacja uprawnienia osoby fizycznej prawa dostępu do 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9F" w:rsidRPr="007B1D9F">
        <w:rPr>
          <w:rFonts w:ascii="Times New Roman" w:hAnsi="Times New Roman" w:cs="Times New Roman"/>
          <w:sz w:val="24"/>
          <w:szCs w:val="24"/>
        </w:rPr>
        <w:t>danych przetwarzanych przez Administratora.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95" w:rsidRPr="00694595" w:rsidRDefault="00694595" w:rsidP="0069459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B1D9F"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Każdej osobie fizycznej przysługuje prawo do uzyskania wyczerpujących informacji od Administratora, w postaci </w:t>
      </w:r>
      <w:r w:rsidR="007B1D9F"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potwierdzenia</w:t>
      </w:r>
      <w:r w:rsidR="007B1D9F"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dane są faktycznie przetwarzane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9F" w:rsidRPr="00694595" w:rsidRDefault="007B1D9F" w:rsidP="00694595">
      <w:pPr>
        <w:pStyle w:val="Nagwek1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Prawa osoby fizycznej, której dane są przetwarzane </w:t>
      </w:r>
    </w:p>
    <w:p w:rsidR="007B1D9F" w:rsidRPr="007B1D9F" w:rsidRDefault="007B1D9F" w:rsidP="00694595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fizyczna, której dane są przetwarzane ma prawo do </w:t>
      </w: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uzyskania </w:t>
      </w: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informacji</w:t>
      </w:r>
      <w:r w:rsidR="00A06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</w:t>
      </w: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celach, 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jakich przetwarzane są dane osobowe;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kategoriach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danych osobowych, które podlegają przetwarzaniu;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odbiorcach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lub kategoriach odbiorców;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planowanym okresie </w:t>
      </w: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przechowywania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danych osobowych, a gdy nie jest to możliwe,  </w:t>
      </w:r>
      <w:r w:rsidR="00A0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kryteriach ustalania okresu przechowywania danych;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prawie do żądania sprostowania swoich danych osobowych;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prawie do usunięcia lub ograniczenia przetwarzania danych osobowych; 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prawie do wniesienia sprzeciwu wobec konkretnego przetwarzania swoich danych;</w:t>
      </w:r>
    </w:p>
    <w:p w:rsidR="007B1D9F" w:rsidRPr="007B1D9F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prawie do wniesienia skargi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do organu nadzorczego, na przetwarzanie swoich danych, jeśli są one przetwarzane  niezgodnie z obowiązującymi przepisami;</w:t>
      </w:r>
    </w:p>
    <w:p w:rsidR="00A06AEC" w:rsidRDefault="007B1D9F" w:rsidP="00A06AEC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sytuacji, gdy dane osobowe nie zostały zebrane od osoby, której one dotyczą – wszelkich dostępnych informacje o źródle, z którego administrator pozyskał te dane</w:t>
      </w:r>
    </w:p>
    <w:p w:rsidR="007B1D9F" w:rsidRPr="00A06AEC" w:rsidRDefault="007B1D9F" w:rsidP="00401E6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6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zautomatyzowanym podejmowaniu decyzji</w:t>
      </w:r>
      <w:r w:rsidRPr="00A0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</w:t>
      </w:r>
      <w:r w:rsidR="006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A0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dministrator realizuje wobec konkretnej osoby fizycznej taki sposób przetwarzania, w tym informacji o profilowaniu (art. 22 ust. 1 i 4 RODO)</w:t>
      </w:r>
      <w:r w:rsidR="006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1D9F" w:rsidRPr="00694595" w:rsidRDefault="007B1D9F" w:rsidP="00694595">
      <w:pPr>
        <w:pStyle w:val="Nagwek1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 uprawnienia dostępu do danych </w:t>
      </w:r>
    </w:p>
    <w:p w:rsidR="007B1D9F" w:rsidRPr="00694595" w:rsidRDefault="007B1D9F" w:rsidP="0069459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 fizyczna otrzymuje dostęp do swoich danych osobowych poprzez uzyskanie </w:t>
      </w:r>
      <w:r w:rsidRPr="007B1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kopii przetwarzanych danych osobowych</w:t>
      </w:r>
      <w:r w:rsidR="0069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osoba, której dane dotyczą, zwraca się o kopię drogą elektroniczną i jeżeli nie zaznaczy inaczej, informacji udziela się powszechnie stosowaną drogą elektroniczną.</w:t>
      </w:r>
    </w:p>
    <w:p w:rsidR="007B1D9F" w:rsidRPr="007B1D9F" w:rsidRDefault="007B1D9F" w:rsidP="0069459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Pierwsza kopia i jej przekazanie odbywa się </w:t>
      </w:r>
      <w:r w:rsidRPr="007B1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bezpłatnie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lecz za wszelkie kolejne kopie, </w:t>
      </w:r>
      <w:r w:rsidR="00694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 zwróci się podmiot danych, Administrator będzie miał prawo pobrać </w:t>
      </w:r>
      <w:r w:rsidRPr="007B1D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7B1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opłatę w rozsądnej wysokości wynikającej z kosztów administracyjnych</w:t>
      </w:r>
      <w:r w:rsidRPr="007B1D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 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 ust. 3 RODO) związanych z jej wytworzeniem (według stawek obowiązujących u Administratora).</w:t>
      </w:r>
    </w:p>
    <w:p w:rsidR="007B1D9F" w:rsidRPr="007B1D9F" w:rsidRDefault="007B1D9F" w:rsidP="0069459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Umożliwienie wglądu do danych konkretnej osobie fizycznej nie może powodować naruszenia praw innych osób lub też tajemnic prawnie chronionych.</w:t>
      </w:r>
      <w:r w:rsidR="006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Uzyskując wgląd do swoich danych osoba fizyczna nie może mieć nieuzasadnionego dostępu do danych innych osób fizycznych</w:t>
      </w:r>
      <w:r w:rsidR="00D95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7B1D9F" w:rsidRPr="007B1D9F" w:rsidRDefault="007B1D9F" w:rsidP="00A06AE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gdy przetwarzana jest duża ilość informacji o osobie, która chce skorzystać</w:t>
      </w:r>
      <w:r w:rsidR="004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1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prawa dostępu do swoich danych, Administrator kieruje do tej osoby żądanie sprecyzowania do jakich konkretnie danych lub też informacji o czynnościach przetwarzania jej danych chciałaby ona uzyskać dostęp.</w:t>
      </w:r>
    </w:p>
    <w:p w:rsidR="007B1D9F" w:rsidRPr="007B1D9F" w:rsidRDefault="007B1D9F" w:rsidP="00A06AE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1D9F" w:rsidRPr="007B1D9F" w:rsidRDefault="007B1D9F" w:rsidP="00A06AE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Terminy na udzielenie odpowiedzi na żądanie: </w:t>
      </w:r>
    </w:p>
    <w:p w:rsidR="007B1D9F" w:rsidRPr="007B1D9F" w:rsidRDefault="007B1D9F" w:rsidP="00A06AE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zobowiązany jest do udzielenia odpowiedzi na żądanie osoby fizycznej w terminie </w:t>
      </w:r>
      <w:r w:rsidRPr="007B1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miesiąca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 otrzymania tego żądania. </w:t>
      </w:r>
    </w:p>
    <w:p w:rsidR="007B1D9F" w:rsidRPr="007B1D9F" w:rsidRDefault="007B1D9F" w:rsidP="00A06AE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żądanie ma charakter skomplikowany, lub skierowano dużą liczbę żądań, administrator może wydłużyć czas udzielenia odpowiedzi 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kolejne </w:t>
      </w:r>
      <w:r w:rsidRPr="007B1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miesiące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w takim wypadku jest zobowiązany 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przekazania takiej informacji osobie fizycznej w terminie pierwszego miesiąca licząc od momentu wpłynięcia żądania. Musi również w takim wypadku podać przyczyny wydłużenia terminu na udzielenie odpowiedzi ( art. 12 ust. 3 RODO).</w:t>
      </w:r>
    </w:p>
    <w:p w:rsidR="007B1D9F" w:rsidRPr="007B1D9F" w:rsidRDefault="007B1D9F" w:rsidP="00A06AE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administrator nie zamierza udzielić odpowiedzi </w:t>
      </w:r>
      <w:r w:rsidRPr="007B1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podjęcia działań wobec żądania osoby fizycznej jest zobowiązany do poinformowania tej osoby o powodach niepodjęcia działań, a także możliwości wniesienia skargi do organu nadzorczego oraz skorzystania przez podmiot danych z możliwości wniesienia sprawy do sądu.</w:t>
      </w:r>
    </w:p>
    <w:p w:rsidR="007B1D9F" w:rsidRPr="007B1D9F" w:rsidRDefault="007B1D9F" w:rsidP="00A06AE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1D9F" w:rsidRPr="007B1D9F" w:rsidRDefault="007B1D9F" w:rsidP="00A06AE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i/>
          <w:sz w:val="24"/>
          <w:szCs w:val="24"/>
          <w:u w:val="single"/>
        </w:rPr>
        <w:t xml:space="preserve">Wzór odpowiedzi na skierowany wniosek: </w:t>
      </w:r>
    </w:p>
    <w:p w:rsidR="007B1D9F" w:rsidRPr="007B1D9F" w:rsidRDefault="007B1D9F" w:rsidP="00A06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Na podstawie art. 15 ust. 1 Rozporządzenia Parlamentu Europejskiego i Rady (UE) 2016/679 z dnia 27 kwietnia 2016 r. w sprawie ochrony osób fizycznych </w:t>
      </w:r>
      <w:r w:rsidRPr="007B1D9F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</w:t>
      </w:r>
      <w:r w:rsidRPr="007B1D9F">
        <w:rPr>
          <w:rFonts w:ascii="Times New Roman" w:hAnsi="Times New Roman" w:cs="Times New Roman"/>
          <w:sz w:val="24"/>
          <w:szCs w:val="24"/>
        </w:rPr>
        <w:lastRenderedPageBreak/>
        <w:t>danych oraz uchylenia dyrektywy 95/46/WE, Administrator potwierdza, że Pana/Pani dane osobowe są przetwarzane i jednocześnie informuje, że: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celem przetwarzania Pani/Pana danych osobowych jest …;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(administrator) przetwarza Pani/Pana dane osobowe w zakresie … (należy wskazać kategorię danych osobowych);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dane osobowe będą ujawniane … (należy wskazać odbiorcę lub kategorie odbiorców); 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dane osobowe będą przechowywane przez okres …;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przysługuje Panu/Pani prawo do sprostowania, usunięcia lub ograniczenia przetwarzania danych osobowych, a także prawo do wniesienia sprzeciwu oraz skargi do organu nadzorczego;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(administrator) uzyskał Pani/Pana dane osobowe z … (należy wskazać źródło, o ile dane nie zostały pozyskane od osoby, której dotyczą);</w:t>
      </w:r>
    </w:p>
    <w:p w:rsidR="007B1D9F" w:rsidRPr="007B1D9F" w:rsidRDefault="007B1D9F" w:rsidP="00A06AE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(należy dodać informacje dotyczące zautomatyzowanego podejmowania decyzji, w tym profilowania, o ile znajduje to zastosowanie).</w:t>
      </w:r>
    </w:p>
    <w:p w:rsidR="007B1D9F" w:rsidRPr="007B1D9F" w:rsidRDefault="007B1D9F" w:rsidP="00A06AEC">
      <w:pPr>
        <w:spacing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B1D9F" w:rsidRPr="007B1D9F" w:rsidRDefault="007B1D9F" w:rsidP="00A06AEC">
      <w:pPr>
        <w:spacing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(data, podpis)</w:t>
      </w:r>
    </w:p>
    <w:p w:rsidR="007B1D9F" w:rsidRPr="007B1D9F" w:rsidRDefault="007B1D9F" w:rsidP="00A06AE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1D9F" w:rsidRPr="007B1D9F" w:rsidRDefault="007B1D9F" w:rsidP="00401E66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</w:pPr>
    </w:p>
    <w:p w:rsidR="007B1D9F" w:rsidRPr="007B1D9F" w:rsidRDefault="007B1D9F" w:rsidP="00A06AE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3AD4" w:rsidRPr="007B1D9F" w:rsidRDefault="00AB3AD4" w:rsidP="00A06AEC">
      <w:pPr>
        <w:spacing w:line="360" w:lineRule="auto"/>
        <w:rPr>
          <w:rFonts w:ascii="Times New Roman" w:hAnsi="Times New Roman" w:cs="Times New Roman"/>
        </w:rPr>
      </w:pPr>
    </w:p>
    <w:sectPr w:rsidR="00AB3AD4" w:rsidRPr="007B1D9F" w:rsidSect="00767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1E" w:rsidRDefault="00A1521E" w:rsidP="00032EFD">
      <w:pPr>
        <w:spacing w:after="0" w:line="240" w:lineRule="auto"/>
      </w:pPr>
      <w:r>
        <w:separator/>
      </w:r>
    </w:p>
  </w:endnote>
  <w:endnote w:type="continuationSeparator" w:id="0">
    <w:p w:rsidR="00A1521E" w:rsidRDefault="00A1521E" w:rsidP="0003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1E" w:rsidRDefault="00A1521E" w:rsidP="00032EFD">
      <w:pPr>
        <w:spacing w:after="0" w:line="240" w:lineRule="auto"/>
      </w:pPr>
      <w:r>
        <w:separator/>
      </w:r>
    </w:p>
  </w:footnote>
  <w:footnote w:type="continuationSeparator" w:id="0">
    <w:p w:rsidR="00A1521E" w:rsidRDefault="00A1521E" w:rsidP="0003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FD" w:rsidRDefault="00032EFD">
    <w:pPr>
      <w:pStyle w:val="Nagwek"/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1"/>
      <w:gridCol w:w="6671"/>
    </w:tblGrid>
    <w:tr w:rsidR="00032EFD" w:rsidRPr="00FE7067" w:rsidTr="00D1727C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032EFD" w:rsidRPr="00EE2382" w:rsidRDefault="00032EFD" w:rsidP="005303BA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D1727C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 nr </w:t>
          </w:r>
          <w:r w:rsidR="00D1727C">
            <w:rPr>
              <w:rFonts w:ascii="Times New Roman" w:hAnsi="Times New Roman" w:cs="Times New Roman"/>
            </w:rPr>
            <w:t>5</w:t>
          </w:r>
          <w:r w:rsidR="00A06AEC">
            <w:rPr>
              <w:rFonts w:ascii="Times New Roman" w:hAnsi="Times New Roman" w:cs="Times New Roman"/>
            </w:rPr>
            <w:t xml:space="preserve"> </w:t>
          </w:r>
          <w:r w:rsidRPr="00EE2382">
            <w:rPr>
              <w:rFonts w:ascii="Times New Roman" w:hAnsi="Times New Roman" w:cs="Times New Roman"/>
            </w:rPr>
            <w:t xml:space="preserve">do Polityki </w:t>
          </w:r>
          <w:r>
            <w:rPr>
              <w:rFonts w:ascii="Times New Roman" w:hAnsi="Times New Roman" w:cs="Times New Roman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032EFD" w:rsidRPr="00EE2382" w:rsidRDefault="00032EFD" w:rsidP="005303BA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 w:rsidRPr="00F22FEF">
            <w:rPr>
              <w:rFonts w:ascii="Times New Roman" w:hAnsi="Times New Roman" w:cs="Times New Roman"/>
              <w:b/>
            </w:rPr>
            <w:t xml:space="preserve">Procedura </w:t>
          </w:r>
          <w:r>
            <w:rPr>
              <w:rFonts w:ascii="Times New Roman" w:hAnsi="Times New Roman" w:cs="Times New Roman"/>
              <w:b/>
            </w:rPr>
            <w:t>realizacji uprawnienia: prawo dostępu do danych</w:t>
          </w:r>
        </w:p>
      </w:tc>
    </w:tr>
  </w:tbl>
  <w:p w:rsidR="00032EFD" w:rsidRDefault="00032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C7D"/>
    <w:multiLevelType w:val="multilevel"/>
    <w:tmpl w:val="B12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4795"/>
    <w:multiLevelType w:val="multilevel"/>
    <w:tmpl w:val="E89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D17"/>
    <w:multiLevelType w:val="hybridMultilevel"/>
    <w:tmpl w:val="FCC0FC7E"/>
    <w:lvl w:ilvl="0" w:tplc="2CC6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09BE"/>
    <w:multiLevelType w:val="multilevel"/>
    <w:tmpl w:val="D30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24959"/>
    <w:multiLevelType w:val="hybridMultilevel"/>
    <w:tmpl w:val="5BA42858"/>
    <w:lvl w:ilvl="0" w:tplc="DF2AF4E4">
      <w:start w:val="1"/>
      <w:numFmt w:val="bullet"/>
      <w:lvlText w:val="-"/>
      <w:lvlJc w:val="left"/>
      <w:pPr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1811D17"/>
    <w:multiLevelType w:val="multilevel"/>
    <w:tmpl w:val="FBFA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A27AF"/>
    <w:multiLevelType w:val="hybridMultilevel"/>
    <w:tmpl w:val="6A2C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5CAC"/>
    <w:multiLevelType w:val="multilevel"/>
    <w:tmpl w:val="F03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D6CFA"/>
    <w:multiLevelType w:val="hybridMultilevel"/>
    <w:tmpl w:val="F3B4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01A"/>
    <w:multiLevelType w:val="hybridMultilevel"/>
    <w:tmpl w:val="149E67A2"/>
    <w:lvl w:ilvl="0" w:tplc="A5D0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0E3E"/>
    <w:multiLevelType w:val="multilevel"/>
    <w:tmpl w:val="100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A0820"/>
    <w:multiLevelType w:val="multilevel"/>
    <w:tmpl w:val="C8B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610F8"/>
    <w:multiLevelType w:val="hybridMultilevel"/>
    <w:tmpl w:val="5CA2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324A"/>
    <w:multiLevelType w:val="hybridMultilevel"/>
    <w:tmpl w:val="1284D506"/>
    <w:lvl w:ilvl="0" w:tplc="6310BB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7A49"/>
    <w:multiLevelType w:val="hybridMultilevel"/>
    <w:tmpl w:val="462C8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87F3D"/>
    <w:multiLevelType w:val="hybridMultilevel"/>
    <w:tmpl w:val="34CC03AE"/>
    <w:lvl w:ilvl="0" w:tplc="DF2AF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7DE5"/>
    <w:multiLevelType w:val="hybridMultilevel"/>
    <w:tmpl w:val="0FDE0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B0C"/>
    <w:multiLevelType w:val="multilevel"/>
    <w:tmpl w:val="A82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81D83"/>
    <w:multiLevelType w:val="hybridMultilevel"/>
    <w:tmpl w:val="AE36DF5E"/>
    <w:lvl w:ilvl="0" w:tplc="DF2AF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F6983"/>
    <w:multiLevelType w:val="hybridMultilevel"/>
    <w:tmpl w:val="0FB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E5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66A94"/>
    <w:multiLevelType w:val="hybridMultilevel"/>
    <w:tmpl w:val="D89ED758"/>
    <w:lvl w:ilvl="0" w:tplc="DF2AF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94E45"/>
    <w:multiLevelType w:val="hybridMultilevel"/>
    <w:tmpl w:val="0A4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B746C"/>
    <w:multiLevelType w:val="hybridMultilevel"/>
    <w:tmpl w:val="635E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18"/>
  </w:num>
  <w:num w:numId="12">
    <w:abstractNumId w:val="15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2"/>
  </w:num>
  <w:num w:numId="21">
    <w:abstractNumId w:val="12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7D2"/>
    <w:rsid w:val="0003202D"/>
    <w:rsid w:val="00032EFD"/>
    <w:rsid w:val="00055095"/>
    <w:rsid w:val="00133D71"/>
    <w:rsid w:val="00171E6E"/>
    <w:rsid w:val="00252BFC"/>
    <w:rsid w:val="002D12A9"/>
    <w:rsid w:val="00350C4D"/>
    <w:rsid w:val="00381953"/>
    <w:rsid w:val="003C356D"/>
    <w:rsid w:val="003F6C42"/>
    <w:rsid w:val="00401E66"/>
    <w:rsid w:val="004D1DCD"/>
    <w:rsid w:val="005129A5"/>
    <w:rsid w:val="00543A22"/>
    <w:rsid w:val="005B6ED0"/>
    <w:rsid w:val="00694595"/>
    <w:rsid w:val="006F29E9"/>
    <w:rsid w:val="00767436"/>
    <w:rsid w:val="007B1D9F"/>
    <w:rsid w:val="00855B45"/>
    <w:rsid w:val="008A3A38"/>
    <w:rsid w:val="00A06AEC"/>
    <w:rsid w:val="00A1521E"/>
    <w:rsid w:val="00A326F2"/>
    <w:rsid w:val="00AA07D2"/>
    <w:rsid w:val="00AB3AD4"/>
    <w:rsid w:val="00BA0A70"/>
    <w:rsid w:val="00C06C5A"/>
    <w:rsid w:val="00C56AA2"/>
    <w:rsid w:val="00D1727C"/>
    <w:rsid w:val="00D95A6A"/>
    <w:rsid w:val="00E416AB"/>
    <w:rsid w:val="00E456D6"/>
    <w:rsid w:val="00E8772A"/>
    <w:rsid w:val="00EC40D5"/>
    <w:rsid w:val="00ED5FBB"/>
    <w:rsid w:val="00F36084"/>
    <w:rsid w:val="00F7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B6C3"/>
  <w15:docId w15:val="{BE7BCA19-F128-4240-9F53-CC0F95E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7D2"/>
  </w:style>
  <w:style w:type="paragraph" w:styleId="Nagwek1">
    <w:name w:val="heading 1"/>
    <w:basedOn w:val="Normalny"/>
    <w:next w:val="Normalny"/>
    <w:link w:val="Nagwek1Znak"/>
    <w:uiPriority w:val="9"/>
    <w:qFormat/>
    <w:rsid w:val="00AB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B3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B3AD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B3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FD"/>
  </w:style>
  <w:style w:type="paragraph" w:styleId="Stopka">
    <w:name w:val="footer"/>
    <w:basedOn w:val="Normalny"/>
    <w:link w:val="StopkaZnak"/>
    <w:uiPriority w:val="99"/>
    <w:unhideWhenUsed/>
    <w:rsid w:val="000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FD"/>
  </w:style>
  <w:style w:type="paragraph" w:styleId="Tekstdymka">
    <w:name w:val="Balloon Text"/>
    <w:basedOn w:val="Normalny"/>
    <w:link w:val="TekstdymkaZnak"/>
    <w:uiPriority w:val="99"/>
    <w:semiHidden/>
    <w:unhideWhenUsed/>
    <w:rsid w:val="0003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EF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E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B931-0AC6-4784-8035-F4B8AFA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BS. Starczewska</cp:lastModifiedBy>
  <cp:revision>21</cp:revision>
  <dcterms:created xsi:type="dcterms:W3CDTF">2018-05-02T11:03:00Z</dcterms:created>
  <dcterms:modified xsi:type="dcterms:W3CDTF">2018-06-22T12:09:00Z</dcterms:modified>
</cp:coreProperties>
</file>